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220"/>
        <w:gridCol w:w="5220"/>
      </w:tblGrid>
      <w:tr w:rsidR="35826157" w:rsidTr="35826157" w14:paraId="3480EC67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35826157" w:rsidP="35826157" w:rsidRDefault="35826157" w14:paraId="311CADEF" w14:textId="1100CC6C">
            <w:pPr>
              <w:spacing w:line="256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="35826157">
              <w:drawing>
                <wp:inline wp14:editId="48726770" wp14:anchorId="5FFED369">
                  <wp:extent cx="1485900" cy="800100"/>
                  <wp:effectExtent l="0" t="0" r="0" b="0"/>
                  <wp:docPr id="575368149" name="" descr="Text&#10;&#10;Description automatically generated with low confidenc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d2fa6186b3d444b2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="35826157" w:rsidP="35826157" w:rsidRDefault="35826157" w14:paraId="4FB24329" w14:textId="3ED0081C">
            <w:pPr>
              <w:spacing w:line="256" w:lineRule="auto"/>
              <w:jc w:val="righ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="35826157">
              <w:drawing>
                <wp:inline wp14:editId="46CB1388" wp14:anchorId="6033D032">
                  <wp:extent cx="942975" cy="228600"/>
                  <wp:effectExtent l="0" t="0" r="0" b="0"/>
                  <wp:docPr id="575368149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9bcc918df9e24204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447E" w:rsidP="35826157" w:rsidRDefault="008C447E" w14:paraId="59252A34" w14:textId="14B8FAF4">
      <w:pPr>
        <w:pStyle w:val="Normal"/>
      </w:pPr>
    </w:p>
    <w:p w:rsidR="3D590073" w:rsidP="35826157" w:rsidRDefault="3D590073" w14:paraId="1F671FC7" w14:textId="1A67626D">
      <w:pPr>
        <w:spacing w:after="160" w:line="256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35826157" w:rsidR="3D590073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Press </w:t>
      </w:r>
      <w:r w:rsidRPr="35826157" w:rsidR="08A3462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Release - 8 September 2021</w:t>
      </w:r>
    </w:p>
    <w:p w:rsidRPr="006B7881" w:rsidR="008C447E" w:rsidP="008C447E" w:rsidRDefault="008C447E" w14:paraId="48DF7515" w14:textId="77777777">
      <w:r w:rsidRPr="006B7881">
        <w:t>—</w:t>
      </w:r>
    </w:p>
    <w:p w:rsidR="008C447E" w:rsidP="008C447E" w:rsidRDefault="008C447E" w14:paraId="3F9B87BD" w14:textId="0A8BFFE4">
      <w:pPr>
        <w:spacing w:line="240" w:lineRule="auto"/>
        <w:rPr>
          <w:b w:val="1"/>
          <w:bCs w:val="1"/>
        </w:rPr>
      </w:pPr>
      <w:r w:rsidRPr="35826157" w:rsidR="008C447E">
        <w:rPr>
          <w:b w:val="1"/>
          <w:bCs w:val="1"/>
        </w:rPr>
        <w:t xml:space="preserve">15 QLD homes </w:t>
      </w:r>
      <w:r w:rsidRPr="35826157" w:rsidR="5EE8E16E">
        <w:rPr>
          <w:b w:val="1"/>
          <w:bCs w:val="1"/>
        </w:rPr>
        <w:t xml:space="preserve">featured nationally as part of </w:t>
      </w:r>
      <w:r w:rsidRPr="35826157" w:rsidR="008C447E">
        <w:rPr>
          <w:b w:val="1"/>
          <w:bCs w:val="1"/>
        </w:rPr>
        <w:t>Sustainable House Day 2021</w:t>
      </w:r>
    </w:p>
    <w:p w:rsidRPr="006B7881" w:rsidR="008C447E" w:rsidP="008C447E" w:rsidRDefault="008C447E" w14:paraId="4CB337B9" w14:textId="77777777">
      <w:r w:rsidRPr="006B7881">
        <w:t>—</w:t>
      </w:r>
    </w:p>
    <w:p w:rsidRPr="00526DDD" w:rsidR="008C447E" w:rsidP="008C447E" w:rsidRDefault="008C447E" w14:paraId="126D9AC9" w14:textId="17BFF689">
      <w:r>
        <w:t xml:space="preserve">Queensland’s </w:t>
      </w:r>
      <w:r w:rsidRPr="00526DDD">
        <w:t xml:space="preserve">most sustainable homes will be on show </w:t>
      </w:r>
      <w:r>
        <w:t xml:space="preserve">online </w:t>
      </w:r>
      <w:r w:rsidRPr="00526DDD">
        <w:t xml:space="preserve">as part of Sustainable House Day 2021. </w:t>
      </w:r>
    </w:p>
    <w:p w:rsidRPr="00526DDD" w:rsidR="008C447E" w:rsidP="008C447E" w:rsidRDefault="008C447E" w14:paraId="11D7DE0D" w14:textId="77777777">
      <w:r w:rsidRPr="00526DDD">
        <w:t>Established in 2001, Sustainable House Day is a national event that facilitates peer-to-peer knowledge sharing on sustainable building, design and living by providing access to Australia’s most unique sustainable homes.</w:t>
      </w:r>
    </w:p>
    <w:p w:rsidRPr="00526DDD" w:rsidR="008C447E" w:rsidP="008C447E" w:rsidRDefault="008C447E" w14:paraId="216E41B6" w14:textId="77777777">
      <w:r w:rsidRPr="00526DDD">
        <w:t>This year, we’ve expanded Sustainable House Day into a month-long event, featuring four themed weeks of webinars with experts and homeowners as well as a program of free online events on October 17. In addition, community partners around the country will be hosting their own in person and online events during this period.</w:t>
      </w:r>
    </w:p>
    <w:p w:rsidR="008C447E" w:rsidP="008C447E" w:rsidRDefault="008C447E" w14:paraId="1DDBA44F" w14:textId="77777777">
      <w:r w:rsidRPr="00526DDD">
        <w:t>With these events, Sustainable House Day will provide countless opportunities for education and inspiration for those looking to reduce their homes’ environmental impact.</w:t>
      </w:r>
    </w:p>
    <w:p w:rsidR="008C447E" w:rsidP="35826157" w:rsidRDefault="008C447E" w14:paraId="0E3B1F3A" w14:textId="5346E2DD">
      <w:pPr>
        <w:pStyle w:val="Normal"/>
      </w:pPr>
      <w:r w:rsidR="1FBB9CB3">
        <w:rPr/>
        <w:t xml:space="preserve">Houses participating in </w:t>
      </w:r>
      <w:r w:rsidR="008C447E">
        <w:rPr/>
        <w:t xml:space="preserve">QLD this year include </w:t>
      </w:r>
      <w:hyperlink r:id="R67bb3ef557194c30">
        <w:r w:rsidRPr="35826157" w:rsidR="0030D76D">
          <w:rPr>
            <w:rStyle w:val="Hyperlink"/>
          </w:rPr>
          <w:t>Treehouse Extension</w:t>
        </w:r>
      </w:hyperlink>
      <w:r w:rsidR="0030D76D">
        <w:rPr/>
        <w:t xml:space="preserve"> </w:t>
      </w:r>
      <w:r w:rsidR="008C447E">
        <w:rPr/>
        <w:t xml:space="preserve">in Brisbane’s Carina Heights allowed a couple to create more space for their family with an airy but modest two-story extension, without impacting their 1940s home. Thanks to the extension’s clever design, it doesn’t need air conditioning, relying on cross ventilation, and connects to the beautiful established garden. For a fantastic example of sustainable design in difficult climates, </w:t>
      </w:r>
      <w:r w:rsidR="0F11B23F">
        <w:rPr/>
        <w:t xml:space="preserve">check out </w:t>
      </w:r>
      <w:hyperlink r:id="R7956d7eada0e45c0">
        <w:r w:rsidRPr="35826157" w:rsidR="008C447E">
          <w:rPr>
            <w:rStyle w:val="Hyperlink"/>
          </w:rPr>
          <w:t>Tropical Pavilions</w:t>
        </w:r>
      </w:hyperlink>
      <w:r w:rsidR="008C447E">
        <w:rPr/>
        <w:t xml:space="preserve"> in Cairns, designed by Tony Lawson. Built within a lush tropical garden, the house is designed as a series of pods to allow for flexible </w:t>
      </w:r>
      <w:r w:rsidR="0003482A">
        <w:rPr/>
        <w:t>use and</w:t>
      </w:r>
      <w:r w:rsidR="008C447E">
        <w:rPr/>
        <w:t xml:space="preserve"> was designed with resilience against cyclones in mind. Lawson’s design makes it possible to live without air conditioning in one of Australia’s most difficult climate zones. </w:t>
      </w:r>
    </w:p>
    <w:p w:rsidR="169EA5EC" w:rsidP="35826157" w:rsidRDefault="169EA5EC" w14:paraId="2106D759" w14:textId="2838B83D">
      <w:pPr>
        <w:pStyle w:val="Normal"/>
      </w:pPr>
      <w:r w:rsidR="169EA5EC">
        <w:rPr/>
        <w:t>— END —</w:t>
      </w:r>
    </w:p>
    <w:p w:rsidRPr="006B7881" w:rsidR="008C447E" w:rsidP="008C447E" w:rsidRDefault="008C447E" w14:paraId="0D29B436" w14:textId="77777777">
      <w:r w:rsidR="008C447E">
        <w:rPr/>
        <w:t xml:space="preserve">Sustainable House Day is </w:t>
      </w:r>
      <w:r w:rsidR="008C447E">
        <w:rPr/>
        <w:t>organised</w:t>
      </w:r>
      <w:r w:rsidR="008C447E">
        <w:rPr/>
        <w:t xml:space="preserve"> by </w:t>
      </w:r>
      <w:hyperlink r:id="Rcbfb67629f0f4f69">
        <w:r w:rsidRPr="35826157" w:rsidR="008C447E">
          <w:rPr>
            <w:rStyle w:val="Hyperlink"/>
          </w:rPr>
          <w:t>Renew</w:t>
        </w:r>
      </w:hyperlink>
      <w:r w:rsidR="008C447E">
        <w:rPr/>
        <w:t xml:space="preserve">, a </w:t>
      </w:r>
      <w:r w:rsidR="008C447E">
        <w:rPr/>
        <w:t xml:space="preserve">national, not-for-profit </w:t>
      </w:r>
      <w:r w:rsidR="008C447E">
        <w:rPr/>
        <w:t>organisation</w:t>
      </w:r>
      <w:r w:rsidR="008C447E">
        <w:rPr/>
        <w:t xml:space="preserve"> that inspires, </w:t>
      </w:r>
      <w:r w:rsidR="008C447E">
        <w:rPr/>
        <w:t>enables</w:t>
      </w:r>
      <w:r w:rsidR="008C447E">
        <w:rPr/>
        <w:t xml:space="preserve"> and advocates for people to live sustainably in their homes and communities.</w:t>
      </w:r>
    </w:p>
    <w:p w:rsidRPr="006B7881" w:rsidR="008C447E" w:rsidP="008C447E" w:rsidRDefault="008C447E" w14:paraId="13F341AE" w14:textId="77777777">
      <w:pPr>
        <w:rPr>
          <w:sz w:val="20"/>
          <w:szCs w:val="20"/>
        </w:rPr>
      </w:pPr>
      <w:r>
        <w:rPr>
          <w:sz w:val="20"/>
          <w:szCs w:val="20"/>
        </w:rPr>
        <w:t>—</w:t>
      </w:r>
    </w:p>
    <w:p w:rsidRPr="008C447E" w:rsidR="008C447E" w:rsidP="008C447E" w:rsidRDefault="008C447E" w14:paraId="762B5D51" w14:textId="77777777">
      <w:r w:rsidR="008C447E">
        <w:rPr/>
        <w:t xml:space="preserve">Bookings for our entire program are </w:t>
      </w:r>
      <w:r w:rsidR="008C447E">
        <w:rPr/>
        <w:t xml:space="preserve">open on our website, </w:t>
      </w:r>
      <w:hyperlink r:id="R179f10e0731d45cf">
        <w:r w:rsidRPr="35826157" w:rsidR="008C447E">
          <w:rPr>
            <w:rStyle w:val="Hyperlink"/>
          </w:rPr>
          <w:t>sustainablehouseday.com</w:t>
        </w:r>
      </w:hyperlink>
      <w:r w:rsidR="008C447E">
        <w:rPr/>
        <w:t xml:space="preserve"> </w:t>
      </w:r>
    </w:p>
    <w:p w:rsidRPr="008C447E" w:rsidR="008C447E" w:rsidP="008C447E" w:rsidRDefault="008C447E" w14:paraId="78A7D399" w14:textId="77777777">
      <w:r w:rsidRPr="008C447E">
        <w:t xml:space="preserve">National Sustainable House Day media contact: Diane </w:t>
      </w:r>
      <w:proofErr w:type="spellStart"/>
      <w:r w:rsidRPr="008C447E">
        <w:t>Falzon</w:t>
      </w:r>
      <w:proofErr w:type="spellEnd"/>
      <w:r w:rsidRPr="008C447E">
        <w:t>, pr@dianefalzon.com, 0430 596 699</w:t>
      </w:r>
    </w:p>
    <w:p w:rsidR="008C447E" w:rsidP="008C447E" w:rsidRDefault="008C447E" w14:paraId="4B20E11E" w14:textId="77777777">
      <w:hyperlink r:id="R5f1c7eba27bb4d3a">
        <w:r w:rsidRPr="35826157" w:rsidR="008C447E">
          <w:rPr>
            <w:rStyle w:val="Hyperlink"/>
          </w:rPr>
          <w:t>Treehouse Extension</w:t>
        </w:r>
      </w:hyperlink>
      <w:r w:rsidR="008C447E">
        <w:rPr/>
        <w:t xml:space="preserve"> designer contact: Emma Scragg, </w:t>
      </w:r>
      <w:hyperlink r:id="R30232cc3594a4090">
        <w:r w:rsidRPr="35826157" w:rsidR="008C447E">
          <w:rPr>
            <w:rStyle w:val="Hyperlink"/>
          </w:rPr>
          <w:t>mail@emmascragg.com</w:t>
        </w:r>
      </w:hyperlink>
      <w:r w:rsidR="008C447E">
        <w:rPr/>
        <w:t>, 0404 870 744 </w:t>
      </w:r>
    </w:p>
    <w:p w:rsidRPr="008C447E" w:rsidR="008C447E" w:rsidP="008C447E" w:rsidRDefault="008C447E" w14:paraId="1F3772DC" w14:textId="050C7CEA">
      <w:hyperlink r:id="R3af161df5b194236">
        <w:r w:rsidRPr="35826157" w:rsidR="008C447E">
          <w:rPr>
            <w:rStyle w:val="Hyperlink"/>
          </w:rPr>
          <w:t>Tropical Pavilions</w:t>
        </w:r>
      </w:hyperlink>
      <w:r w:rsidR="008C447E">
        <w:rPr/>
        <w:t xml:space="preserve"> designer contact: Tony Lawson, </w:t>
      </w:r>
      <w:hyperlink r:id="R731893c59d5e4302">
        <w:r w:rsidRPr="35826157" w:rsidR="008C447E">
          <w:rPr>
            <w:rStyle w:val="Hyperlink"/>
          </w:rPr>
          <w:t>tony@lawsondesign.com.au</w:t>
        </w:r>
      </w:hyperlink>
      <w:r w:rsidR="008C447E">
        <w:rPr/>
        <w:t>, 0412 592 900</w:t>
      </w:r>
    </w:p>
    <w:p w:rsidRPr="008C447E" w:rsidR="008C447E" w:rsidP="008C447E" w:rsidRDefault="008C447E" w14:paraId="625E4C81" w14:textId="51CFE9FB" w14:noSpellErr="1">
      <w:pPr>
        <w:suppressAutoHyphens w:val="0"/>
        <w:autoSpaceDN/>
        <w:spacing w:after="0" w:line="240" w:lineRule="auto"/>
        <w:textAlignment w:val="auto"/>
        <w:rPr>
          <w:rFonts w:eastAsia="Times New Roman" w:cs="Calibri"/>
          <w:color w:val="0563C1"/>
          <w:sz w:val="24"/>
          <w:szCs w:val="24"/>
          <w:u w:val="single"/>
          <w:lang w:val="en-AU" w:eastAsia="en-GB"/>
        </w:rPr>
      </w:pPr>
    </w:p>
    <w:p w:rsidR="003D1DAB" w:rsidP="35826157" w:rsidRDefault="003D1DAB" w14:paraId="11B69BC1" w14:textId="37C2F69D">
      <w:pPr>
        <w:pStyle w:val="Normal"/>
        <w:spacing w:after="0" w:line="240" w:lineRule="auto"/>
      </w:pPr>
      <w:r w:rsidR="003D1DAB">
        <w:drawing>
          <wp:inline wp14:editId="4E3FC4ED" wp14:anchorId="12872E53">
            <wp:extent cx="6638924" cy="952500"/>
            <wp:effectExtent l="0" t="0" r="0" b="0"/>
            <wp:docPr id="86431593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b6f67926f7a4ac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924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D59" w:rsidRDefault="000C0D59" w14:paraId="699B368D" w14:textId="77777777"/>
    <w:sectPr w:rsidR="000C0D59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47E"/>
    <w:rsid w:val="0003482A"/>
    <w:rsid w:val="000C0D59"/>
    <w:rsid w:val="0030D76D"/>
    <w:rsid w:val="003D1DAB"/>
    <w:rsid w:val="008C447E"/>
    <w:rsid w:val="08A34622"/>
    <w:rsid w:val="0F11B23F"/>
    <w:rsid w:val="153EB7CE"/>
    <w:rsid w:val="153EB7CE"/>
    <w:rsid w:val="169EA5EC"/>
    <w:rsid w:val="1FBB9CB3"/>
    <w:rsid w:val="28B02B90"/>
    <w:rsid w:val="28B02B90"/>
    <w:rsid w:val="35826157"/>
    <w:rsid w:val="3D590073"/>
    <w:rsid w:val="40AE5419"/>
    <w:rsid w:val="5A87E622"/>
    <w:rsid w:val="5C31FCFD"/>
    <w:rsid w:val="5E65C44D"/>
    <w:rsid w:val="5E65C44D"/>
    <w:rsid w:val="5EE8E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6FC970"/>
  <w15:chartTrackingRefBased/>
  <w15:docId w15:val="{2D938BF9-2A4E-054E-888F-F7D75344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C447E"/>
    <w:pPr>
      <w:suppressAutoHyphens/>
      <w:autoSpaceDN w:val="0"/>
      <w:spacing w:after="160" w:line="256" w:lineRule="auto"/>
      <w:textAlignment w:val="baseline"/>
    </w:pPr>
    <w:rPr>
      <w:rFonts w:ascii="Calibri" w:hAnsi="Calibri" w:eastAsia="Calibri" w:cs="Arial"/>
      <w:sz w:val="22"/>
      <w:szCs w:val="22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447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447E"/>
    <w:rPr>
      <w:color w:val="605E5C"/>
      <w:shd w:val="clear" w:color="auto" w:fill="E1DFDD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1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image" Target="/media/image2.png" Id="Rd2fa6186b3d444b2" /><Relationship Type="http://schemas.openxmlformats.org/officeDocument/2006/relationships/image" Target="/media/image.jpg" Id="R9bcc918df9e24204" /><Relationship Type="http://schemas.openxmlformats.org/officeDocument/2006/relationships/hyperlink" Target="https://sustainablehouseday.com/listing/treehouse-extension/" TargetMode="External" Id="R67bb3ef557194c30" /><Relationship Type="http://schemas.openxmlformats.org/officeDocument/2006/relationships/hyperlink" Target="https://sustainablehouseday.com/listing/tropical-pavilions/" TargetMode="External" Id="R7956d7eada0e45c0" /><Relationship Type="http://schemas.openxmlformats.org/officeDocument/2006/relationships/hyperlink" Target="https://renew.org.au/" TargetMode="External" Id="Rcbfb67629f0f4f69" /><Relationship Type="http://schemas.openxmlformats.org/officeDocument/2006/relationships/hyperlink" Target="https://sustainablehouseday.com/" TargetMode="External" Id="R179f10e0731d45cf" /><Relationship Type="http://schemas.openxmlformats.org/officeDocument/2006/relationships/hyperlink" Target="https://sustainablehouseday.com/listing/treehouse-extension/" TargetMode="External" Id="R5f1c7eba27bb4d3a" /><Relationship Type="http://schemas.openxmlformats.org/officeDocument/2006/relationships/hyperlink" Target="mailto:mail@emmascragg.com" TargetMode="External" Id="R30232cc3594a4090" /><Relationship Type="http://schemas.openxmlformats.org/officeDocument/2006/relationships/hyperlink" Target="https://sustainablehouseday.com/listing/tropical-pavilions/" TargetMode="External" Id="R3af161df5b194236" /><Relationship Type="http://schemas.openxmlformats.org/officeDocument/2006/relationships/hyperlink" Target="mailto:tony@lawsondesign.com.au" TargetMode="External" Id="R731893c59d5e4302" /><Relationship Type="http://schemas.openxmlformats.org/officeDocument/2006/relationships/image" Target="/media/image2.jpg" Id="R5b6f67926f7a4ac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8D883179969B499EF2E69E07C58E5A" ma:contentTypeVersion="13" ma:contentTypeDescription="Create a new document." ma:contentTypeScope="" ma:versionID="3ea76811f86648dcbf49bd4647286c02">
  <xsd:schema xmlns:xsd="http://www.w3.org/2001/XMLSchema" xmlns:xs="http://www.w3.org/2001/XMLSchema" xmlns:p="http://schemas.microsoft.com/office/2006/metadata/properties" xmlns:ns2="4ac75c44-2b88-4fd9-aade-df85ca967024" xmlns:ns3="55654394-6427-4a08-9313-0fd8544b94a2" targetNamespace="http://schemas.microsoft.com/office/2006/metadata/properties" ma:root="true" ma:fieldsID="ca209ff1d6497240cb96baab0358e3f9" ns2:_="" ns3:_="">
    <xsd:import namespace="4ac75c44-2b88-4fd9-aade-df85ca967024"/>
    <xsd:import namespace="55654394-6427-4a08-9313-0fd8544b94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75c44-2b88-4fd9-aade-df85ca967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54394-6427-4a08-9313-0fd8544b94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A98C6D-94D5-4819-B9D0-A0EC3E0B3E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C9CB6B-67DD-4F75-AEE1-06BBF5AA74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DB61E4-FE44-4244-9084-A7275A9EB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c75c44-2b88-4fd9-aade-df85ca967024"/>
    <ds:schemaRef ds:uri="55654394-6427-4a08-9313-0fd8544b9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Sophie Weiner</dc:creator>
  <keywords/>
  <dc:description/>
  <lastModifiedBy>Jacqui Hagen</lastModifiedBy>
  <revision>3</revision>
  <dcterms:created xsi:type="dcterms:W3CDTF">2021-08-31T06:31:00.0000000Z</dcterms:created>
  <dcterms:modified xsi:type="dcterms:W3CDTF">2021-09-08T03:00:41.1215267Z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0x0101009D8D883179969B499EF2E69E07C58E5A</vt:lpwstr>
  </property>
</Properties>
</file>