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5220"/>
      </w:tblGrid>
      <w:tr w:rsidR="3F5003D6" w14:paraId="73932866" w14:textId="77777777" w:rsidTr="3F5003D6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15E9D" w14:textId="4480FC16" w:rsidR="3F5003D6" w:rsidRDefault="3F5003D6" w:rsidP="3F5003D6">
            <w:pPr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34460242" wp14:editId="105DFCA0">
                  <wp:extent cx="1485900" cy="800100"/>
                  <wp:effectExtent l="0" t="0" r="0" b="0"/>
                  <wp:docPr id="43237483" name="Picture 43237483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F644A" w14:textId="1AFA6D37" w:rsidR="3F5003D6" w:rsidRDefault="3F5003D6" w:rsidP="3F5003D6">
            <w:pPr>
              <w:jc w:val="right"/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0FFE62CB" wp14:editId="74047402">
                  <wp:extent cx="942975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6ECA3" w14:textId="36152075" w:rsidR="00134F57" w:rsidRDefault="00134F57" w:rsidP="3F5003D6"/>
    <w:p w14:paraId="5EF175EA" w14:textId="619D8430" w:rsidR="4363A768" w:rsidRDefault="4363A768" w:rsidP="3F5003D6">
      <w:pPr>
        <w:rPr>
          <w:rFonts w:cs="Calibri"/>
        </w:rPr>
      </w:pPr>
      <w:r w:rsidRPr="3F5003D6">
        <w:rPr>
          <w:rFonts w:cs="Calibri"/>
        </w:rPr>
        <w:t xml:space="preserve">Press </w:t>
      </w:r>
      <w:r w:rsidR="6FA435A2" w:rsidRPr="3F5003D6">
        <w:rPr>
          <w:rFonts w:cs="Calibri"/>
        </w:rPr>
        <w:t>Release - 8 September 2021</w:t>
      </w:r>
    </w:p>
    <w:p w14:paraId="778B0E2C" w14:textId="77777777" w:rsidR="00134F57" w:rsidRPr="006B7881" w:rsidRDefault="61C8B8CF" w:rsidP="00134F57">
      <w:r>
        <w:t>—</w:t>
      </w:r>
    </w:p>
    <w:p w14:paraId="55F57A31" w14:textId="66060BF1" w:rsidR="074003AC" w:rsidRDefault="074003AC" w:rsidP="3F5003D6">
      <w:pPr>
        <w:spacing w:line="240" w:lineRule="auto"/>
      </w:pPr>
      <w:proofErr w:type="spellStart"/>
      <w:r w:rsidRPr="3F5003D6">
        <w:rPr>
          <w:b/>
          <w:bCs/>
        </w:rPr>
        <w:t>Tassie’s</w:t>
      </w:r>
      <w:proofErr w:type="spellEnd"/>
      <w:r w:rsidRPr="3F5003D6">
        <w:rPr>
          <w:b/>
          <w:bCs/>
        </w:rPr>
        <w:t xml:space="preserve"> most sustainable homes featured as part of Sustainable House Day 2021</w:t>
      </w:r>
    </w:p>
    <w:p w14:paraId="4D41277C" w14:textId="77777777" w:rsidR="00134F57" w:rsidRPr="006B7881" w:rsidRDefault="00134F57" w:rsidP="00134F57">
      <w:r w:rsidRPr="006B7881">
        <w:t>—</w:t>
      </w:r>
    </w:p>
    <w:p w14:paraId="57948B93" w14:textId="7D2C218C" w:rsidR="00134F57" w:rsidRPr="00526DDD" w:rsidRDefault="00A9321A" w:rsidP="00134F57">
      <w:r>
        <w:t>Five</w:t>
      </w:r>
      <w:r w:rsidR="02814A6A">
        <w:t xml:space="preserve"> of </w:t>
      </w:r>
      <w:r w:rsidR="61C8B8CF">
        <w:t xml:space="preserve">Tasmania’s most sustainable homes will be on show online as part of Sustainable House Day 2021. </w:t>
      </w:r>
    </w:p>
    <w:p w14:paraId="78BB63D6" w14:textId="77777777" w:rsidR="00134F57" w:rsidRPr="00526DDD" w:rsidRDefault="00134F57" w:rsidP="00134F57">
      <w:r w:rsidRPr="00526DDD">
        <w:t>Established in 2001, Sustainable House Day is a national event that facilitates peer-to-peer knowledge sharing on sustainable building, design and living by providing access to Australia’s most unique sustainable homes.</w:t>
      </w:r>
    </w:p>
    <w:p w14:paraId="47F1F5FD" w14:textId="77777777" w:rsidR="00134F57" w:rsidRPr="00526DDD" w:rsidRDefault="00134F57" w:rsidP="00134F57">
      <w:r w:rsidRPr="00526DDD">
        <w:t>This year, we’ve expanded Sustainable House Day into a month-long event, featuring four themed weeks of webinars with experts and homeowners as well as a program of free online events on October 17. In addition, community partners around the country will be hosting their own in person and online events during this period.</w:t>
      </w:r>
    </w:p>
    <w:p w14:paraId="2876BE75" w14:textId="77777777" w:rsidR="00134F57" w:rsidRDefault="00134F57" w:rsidP="00134F57">
      <w:r w:rsidRPr="00526DDD">
        <w:t>With these events, Sustainable House Day will provide countless opportunities for education and inspiration for those looking to reduce their homes’ environmental impact.</w:t>
      </w:r>
    </w:p>
    <w:p w14:paraId="6E755648" w14:textId="13A5B0DE" w:rsidR="00134F57" w:rsidRPr="00134F57" w:rsidRDefault="61C8B8CF" w:rsidP="3F5003D6">
      <w:r>
        <w:t xml:space="preserve">Our TAS offerings this year include </w:t>
      </w:r>
      <w:hyperlink r:id="rId10">
        <w:r w:rsidRPr="3F5003D6">
          <w:rPr>
            <w:rStyle w:val="Hyperlink"/>
          </w:rPr>
          <w:t>Thinking Paddock House</w:t>
        </w:r>
      </w:hyperlink>
      <w:r>
        <w:t xml:space="preserve">, located in a gorgeous location on the water in Sandford. Even when buffeted by winds in the cold </w:t>
      </w:r>
      <w:proofErr w:type="spellStart"/>
      <w:r>
        <w:t>Tassie</w:t>
      </w:r>
      <w:proofErr w:type="spellEnd"/>
      <w:r>
        <w:t xml:space="preserve"> winter, the home maintains high thermal performance, helped by thick insulation and double-glazed windows. With an 8kw solar system, the owners have never had to pay a power bill. Another fantastic example of our open homes is </w:t>
      </w:r>
      <w:hyperlink r:id="rId11">
        <w:r w:rsidR="6FCE9E80" w:rsidRPr="3F5003D6">
          <w:rPr>
            <w:rStyle w:val="Hyperlink"/>
          </w:rPr>
          <w:t xml:space="preserve">Lake </w:t>
        </w:r>
        <w:proofErr w:type="spellStart"/>
        <w:r w:rsidR="6FCE9E80" w:rsidRPr="3F5003D6">
          <w:rPr>
            <w:rStyle w:val="Hyperlink"/>
          </w:rPr>
          <w:t>Tahune</w:t>
        </w:r>
        <w:proofErr w:type="spellEnd"/>
        <w:r w:rsidR="6FCE9E80" w:rsidRPr="3F5003D6">
          <w:rPr>
            <w:rStyle w:val="Hyperlink"/>
          </w:rPr>
          <w:t xml:space="preserve"> Hut</w:t>
        </w:r>
      </w:hyperlink>
      <w:r>
        <w:t xml:space="preserve">, designed by </w:t>
      </w:r>
      <w:r w:rsidR="005A1022">
        <w:t>Green Design Architects</w:t>
      </w:r>
      <w:r>
        <w:t>. This mountain hut in Franklin Gordon Wild Rivers National Park was designed with high levels of insulation to protect against the frequently freezing temperatures, and is fully off-grid, using only a small amount of energy provided by a micro-hydro power supply from a nearby creek.</w:t>
      </w:r>
    </w:p>
    <w:p w14:paraId="6B95E0C7" w14:textId="2C3852BD" w:rsidR="00134F57" w:rsidRDefault="61C8B8CF" w:rsidP="00134F57">
      <w:r>
        <w:t xml:space="preserve">As part of Sustainable House Day local design studio </w:t>
      </w:r>
      <w:proofErr w:type="spellStart"/>
      <w:r>
        <w:t>Designful</w:t>
      </w:r>
      <w:proofErr w:type="spellEnd"/>
      <w:r>
        <w:t xml:space="preserve"> will be hosting an </w:t>
      </w:r>
      <w:proofErr w:type="gramStart"/>
      <w:r>
        <w:t>in person</w:t>
      </w:r>
      <w:proofErr w:type="gramEnd"/>
      <w:r>
        <w:t xml:space="preserve"> event in Hobart on 14 October with a panel discussion on sharing land and building sustainable communities.</w:t>
      </w:r>
    </w:p>
    <w:p w14:paraId="47F9BC11" w14:textId="61834189" w:rsidR="00134F57" w:rsidRPr="006B7881" w:rsidRDefault="5A85CE99" w:rsidP="3F5003D6">
      <w:r>
        <w:t xml:space="preserve">— END — </w:t>
      </w:r>
    </w:p>
    <w:p w14:paraId="267C08CF" w14:textId="07DE530E" w:rsidR="00134F57" w:rsidRPr="006B7881" w:rsidRDefault="61C8B8CF" w:rsidP="3F5003D6">
      <w:r>
        <w:t xml:space="preserve">Sustainable House Day is </w:t>
      </w:r>
      <w:proofErr w:type="spellStart"/>
      <w:r>
        <w:t>organised</w:t>
      </w:r>
      <w:proofErr w:type="spellEnd"/>
      <w:r>
        <w:t xml:space="preserve"> by </w:t>
      </w:r>
      <w:hyperlink r:id="rId12">
        <w:r w:rsidRPr="3F5003D6">
          <w:rPr>
            <w:rStyle w:val="Hyperlink"/>
          </w:rPr>
          <w:t>Renew</w:t>
        </w:r>
      </w:hyperlink>
      <w:r>
        <w:t xml:space="preserve">, a national, not-for-profit </w:t>
      </w:r>
      <w:proofErr w:type="spellStart"/>
      <w:r>
        <w:t>organisation</w:t>
      </w:r>
      <w:proofErr w:type="spellEnd"/>
      <w:r>
        <w:t xml:space="preserve"> that inspires, </w:t>
      </w:r>
      <w:proofErr w:type="gramStart"/>
      <w:r>
        <w:t>enables</w:t>
      </w:r>
      <w:proofErr w:type="gramEnd"/>
      <w:r>
        <w:t xml:space="preserve"> and advocates for people to live sustainably in their homes and communities.</w:t>
      </w:r>
    </w:p>
    <w:p w14:paraId="7F6AC264" w14:textId="7BAB36DA" w:rsidR="00134F57" w:rsidRPr="006B7881" w:rsidRDefault="11F03162" w:rsidP="3F5003D6">
      <w:r>
        <w:t>—</w:t>
      </w:r>
    </w:p>
    <w:p w14:paraId="3DB06453" w14:textId="77777777" w:rsidR="00134F57" w:rsidRDefault="61C8B8CF" w:rsidP="00134F57">
      <w:pPr>
        <w:spacing w:line="240" w:lineRule="auto"/>
      </w:pPr>
      <w:r>
        <w:t xml:space="preserve">Bookings for our entire program are open on our website, </w:t>
      </w:r>
      <w:hyperlink r:id="rId13">
        <w:r w:rsidRPr="3F5003D6">
          <w:rPr>
            <w:rStyle w:val="Hyperlink"/>
          </w:rPr>
          <w:t>sustainablehouseday.com</w:t>
        </w:r>
      </w:hyperlink>
      <w:r>
        <w:t xml:space="preserve"> </w:t>
      </w:r>
    </w:p>
    <w:p w14:paraId="33059081" w14:textId="5EC9ED21" w:rsidR="00134F57" w:rsidRPr="00134F57" w:rsidRDefault="00134F57" w:rsidP="00134F57">
      <w:r w:rsidRPr="00134F57">
        <w:t xml:space="preserve">National Sustainable House Day media contact: Diane </w:t>
      </w:r>
      <w:proofErr w:type="spellStart"/>
      <w:r w:rsidRPr="00134F57">
        <w:t>Falzon</w:t>
      </w:r>
      <w:proofErr w:type="spellEnd"/>
      <w:r w:rsidRPr="00134F57">
        <w:t>, pr@dianefalzon.com, 0430 596 699</w:t>
      </w:r>
    </w:p>
    <w:p w14:paraId="07019B3A" w14:textId="63ACB185" w:rsidR="00134F57" w:rsidRPr="00134F57" w:rsidRDefault="00A9321A" w:rsidP="00134F57">
      <w:hyperlink r:id="rId14">
        <w:r w:rsidR="61C8B8CF" w:rsidRPr="3F5003D6">
          <w:rPr>
            <w:rStyle w:val="Hyperlink"/>
          </w:rPr>
          <w:t>Lake Tahune Hut</w:t>
        </w:r>
      </w:hyperlink>
      <w:r w:rsidR="61C8B8CF">
        <w:t xml:space="preserve"> architect contact: Uta Green, </w:t>
      </w:r>
      <w:hyperlink r:id="rId15">
        <w:r w:rsidR="61C8B8CF" w:rsidRPr="3F5003D6">
          <w:rPr>
            <w:rStyle w:val="Hyperlink"/>
          </w:rPr>
          <w:t>GreenDesignArchitects@mail.com</w:t>
        </w:r>
      </w:hyperlink>
      <w:r w:rsidR="61C8B8CF">
        <w:t>, 362246810</w:t>
      </w:r>
    </w:p>
    <w:p w14:paraId="1212B796" w14:textId="2902B6C0" w:rsidR="000C0D59" w:rsidRDefault="00A9321A">
      <w:hyperlink r:id="rId16">
        <w:r w:rsidR="61C8B8CF" w:rsidRPr="3F5003D6">
          <w:rPr>
            <w:rStyle w:val="Hyperlink"/>
          </w:rPr>
          <w:t>Thinking Paddock House</w:t>
        </w:r>
      </w:hyperlink>
      <w:r w:rsidR="61C8B8CF">
        <w:t xml:space="preserve"> architect contact: Daniel Moore, </w:t>
      </w:r>
      <w:hyperlink r:id="rId17">
        <w:r w:rsidR="61C8B8CF" w:rsidRPr="3F5003D6">
          <w:rPr>
            <w:rStyle w:val="Hyperlink"/>
          </w:rPr>
          <w:t>daniel@opencreativestudio.com</w:t>
        </w:r>
      </w:hyperlink>
      <w:r w:rsidR="61C8B8CF">
        <w:t>, 0418 363 839</w:t>
      </w:r>
    </w:p>
    <w:p w14:paraId="5AF1AEEA" w14:textId="1B3A2273" w:rsidR="3F5003D6" w:rsidRDefault="3F5003D6" w:rsidP="3F5003D6"/>
    <w:p w14:paraId="66A381BA" w14:textId="4EEE10F0" w:rsidR="11D97EE3" w:rsidRDefault="11D97EE3" w:rsidP="3F5003D6">
      <w:r>
        <w:rPr>
          <w:noProof/>
        </w:rPr>
        <w:drawing>
          <wp:inline distT="0" distB="0" distL="0" distR="0" wp14:anchorId="3694E40D" wp14:editId="30415C08">
            <wp:extent cx="6638924" cy="952500"/>
            <wp:effectExtent l="0" t="0" r="0" b="0"/>
            <wp:docPr id="777479021" name="Picture 777479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1D97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57"/>
    <w:rsid w:val="000C0D59"/>
    <w:rsid w:val="00134F57"/>
    <w:rsid w:val="005A1022"/>
    <w:rsid w:val="00A9321A"/>
    <w:rsid w:val="00D15F9A"/>
    <w:rsid w:val="02814A6A"/>
    <w:rsid w:val="031362F9"/>
    <w:rsid w:val="074003AC"/>
    <w:rsid w:val="0FAD21E3"/>
    <w:rsid w:val="11D97EE3"/>
    <w:rsid w:val="11F03162"/>
    <w:rsid w:val="3683577F"/>
    <w:rsid w:val="3F5003D6"/>
    <w:rsid w:val="4363A768"/>
    <w:rsid w:val="5A85CE99"/>
    <w:rsid w:val="5CDBB010"/>
    <w:rsid w:val="5E244A46"/>
    <w:rsid w:val="61C8B8CF"/>
    <w:rsid w:val="6FA435A2"/>
    <w:rsid w:val="6FCE9E80"/>
    <w:rsid w:val="73829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BEAF0"/>
  <w15:chartTrackingRefBased/>
  <w15:docId w15:val="{EAA46FC1-B86F-F142-826F-A0C237F5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57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F57"/>
    <w:rPr>
      <w:color w:val="0563C1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stainablehouseday.com" TargetMode="External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new.org.au/" TargetMode="External"/><Relationship Id="rId17" Type="http://schemas.openxmlformats.org/officeDocument/2006/relationships/hyperlink" Target="mailto:daniel@opencreativestudi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stainablehouseday.com/listing/thinking-paddock-hou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stainablehouseday.com/listing/lake-tahune-hut/" TargetMode="External"/><Relationship Id="rId5" Type="http://schemas.openxmlformats.org/officeDocument/2006/relationships/styles" Target="styles.xml"/><Relationship Id="rId15" Type="http://schemas.openxmlformats.org/officeDocument/2006/relationships/hyperlink" Target="mailto:GreenDesignArchitects@mail.com" TargetMode="External"/><Relationship Id="rId10" Type="http://schemas.openxmlformats.org/officeDocument/2006/relationships/hyperlink" Target="https://sustainablehouseday.com/listing/thinking-paddock-hous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s://sustainablehouseday.com/listing/lake-tahune-h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883179969B499EF2E69E07C58E5A" ma:contentTypeVersion="13" ma:contentTypeDescription="Create a new document." ma:contentTypeScope="" ma:versionID="3ea76811f86648dcbf49bd4647286c02">
  <xsd:schema xmlns:xsd="http://www.w3.org/2001/XMLSchema" xmlns:xs="http://www.w3.org/2001/XMLSchema" xmlns:p="http://schemas.microsoft.com/office/2006/metadata/properties" xmlns:ns2="4ac75c44-2b88-4fd9-aade-df85ca967024" xmlns:ns3="55654394-6427-4a08-9313-0fd8544b94a2" targetNamespace="http://schemas.microsoft.com/office/2006/metadata/properties" ma:root="true" ma:fieldsID="ca209ff1d6497240cb96baab0358e3f9" ns2:_="" ns3:_="">
    <xsd:import namespace="4ac75c44-2b88-4fd9-aade-df85ca967024"/>
    <xsd:import namespace="55654394-6427-4a08-9313-0fd8544b9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5c44-2b88-4fd9-aade-df85ca96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4394-6427-4a08-9313-0fd8544b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4922FA-C034-4D9F-B0A1-2BBBBEFFF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937E9-1FAB-41B1-9288-305B8398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5c44-2b88-4fd9-aade-df85ca967024"/>
    <ds:schemaRef ds:uri="55654394-6427-4a08-9313-0fd8544b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5AA3C-3BE6-433A-A85E-BFFC86F88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Weiner</dc:creator>
  <cp:keywords/>
  <dc:description/>
  <cp:lastModifiedBy>Sophie Weiner</cp:lastModifiedBy>
  <cp:revision>5</cp:revision>
  <dcterms:created xsi:type="dcterms:W3CDTF">2021-09-01T03:36:00Z</dcterms:created>
  <dcterms:modified xsi:type="dcterms:W3CDTF">2021-09-22T04:48:00Z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0x0101009D8D883179969B499EF2E69E07C58E5A</vt:lpwstr>
  </property>
</Properties>
</file>